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64" w:type="dxa"/>
        <w:tblLayout w:type="fixed"/>
        <w:tblLook w:val="0000"/>
      </w:tblPr>
      <w:tblGrid>
        <w:gridCol w:w="3369"/>
        <w:gridCol w:w="6095"/>
      </w:tblGrid>
      <w:tr>
        <w:trPr>
          <w:trHeight w:val="450"/>
        </w:trPr>
        <w:tc>
          <w:tcPr>
            <w:tcW w:w="3369" w:type="dxa"/>
          </w:tcPr>
          <w:p>
            <w:pPr>
              <w:jc w:val="center"/>
              <w:rPr>
                <w:b/>
                <w:sz w:val="26"/>
              </w:rPr>
            </w:pPr>
            <w:bookmarkStart w:id="0" w:name="_GoBack"/>
            <w:bookmarkEnd w:id="0"/>
            <w:r>
              <w:rPr>
                <w:b/>
                <w:sz w:val="26"/>
              </w:rPr>
              <w:t>HỘI ĐỒNG NHÂN DÂN</w:t>
            </w:r>
          </w:p>
          <w:p>
            <w:pPr>
              <w:jc w:val="center"/>
              <w:rPr>
                <w:b/>
                <w:sz w:val="26"/>
                <w:szCs w:val="26"/>
              </w:rPr>
            </w:pPr>
            <w:r>
              <w:rPr>
                <w:noProof/>
                <w:szCs w:val="26"/>
              </w:rPr>
              <w:pict>
                <v:line id="Straight Connector 6" o:spid="_x0000_s1026" style="position:absolute;left:0;text-align:left;z-index:251654656;visibility:visible" from="59.7pt,16.15pt" to="106.5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8MzHAIAADU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"/>
              </w:pict>
            </w:r>
            <w:r>
              <w:rPr>
                <w:b/>
                <w:sz w:val="26"/>
                <w:szCs w:val="26"/>
              </w:rPr>
              <w:t>XÃ ĐỒNG LÊ</w:t>
            </w:r>
          </w:p>
        </w:tc>
        <w:tc>
          <w:tcPr>
            <w:tcW w:w="6095" w:type="dxa"/>
          </w:tcPr>
          <w:p>
            <w:pPr>
              <w:pStyle w:val="BodyText2"/>
              <w:spacing w:after="0" w:line="240" w:lineRule="auto"/>
              <w:jc w:val="center"/>
              <w:rPr>
                <w:b/>
              </w:rPr>
            </w:pPr>
            <w:r>
              <w:rPr>
                <w:b/>
              </w:rPr>
              <w:t>CỘNG HOÀ XÃ HỘI CHỦ NGHĨA VIỆT NAM</w:t>
            </w:r>
          </w:p>
          <w:p>
            <w:pPr>
              <w:pStyle w:val="BodyText2"/>
              <w:spacing w:after="0" w:line="240" w:lineRule="auto"/>
              <w:jc w:val="center"/>
              <w:rPr>
                <w:b/>
              </w:rPr>
            </w:pPr>
            <w:r>
              <w:rPr>
                <w:b/>
                <w:bCs/>
                <w:szCs w:val="28"/>
              </w:rPr>
              <w:t>Độc lập - Tự do - Hạnh phúc</w:t>
            </w:r>
          </w:p>
        </w:tc>
      </w:tr>
      <w:tr>
        <w:trPr>
          <w:trHeight w:val="587"/>
        </w:trPr>
        <w:tc>
          <w:tcPr>
            <w:tcW w:w="3369" w:type="dxa"/>
          </w:tcPr>
          <w:p>
            <w:pPr>
              <w:spacing w:before="180" w:after="120"/>
              <w:jc w:val="center"/>
              <w:rPr>
                <w:sz w:val="26"/>
                <w:szCs w:val="26"/>
              </w:rPr>
            </w:pPr>
            <w:r>
              <w:rPr>
                <w:sz w:val="26"/>
                <w:szCs w:val="26"/>
              </w:rPr>
              <w:t>Số:             /NQ-HĐND</w:t>
            </w:r>
          </w:p>
        </w:tc>
        <w:tc>
          <w:tcPr>
            <w:tcW w:w="6095" w:type="dxa"/>
          </w:tcPr>
          <w:p>
            <w:pPr>
              <w:pStyle w:val="BodyText2"/>
              <w:spacing w:before="160" w:line="240" w:lineRule="auto"/>
              <w:jc w:val="center"/>
              <w:rPr>
                <w:i/>
                <w:szCs w:val="26"/>
              </w:rPr>
            </w:pPr>
            <w:r>
              <w:rPr>
                <w:noProof/>
                <w:sz w:val="22"/>
              </w:rPr>
              <w:pict>
                <v:line id="Straight Connector 5" o:spid="_x0000_s1028" style="position:absolute;left:0;text-align:left;z-index:251653632;visibility:visible;mso-position-horizontal-relative:text;mso-position-vertical-relative:text" from="62pt,2.25pt" to="230.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6RHQIAADY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"/>
              </w:pict>
            </w:r>
            <w:r>
              <w:rPr>
                <w:i/>
                <w:szCs w:val="26"/>
              </w:rPr>
              <w:t>Đồng Lê, ngày        tháng       năm 2026</w:t>
            </w:r>
          </w:p>
        </w:tc>
      </w:tr>
    </w:tbl>
    <w:p>
      <w:pPr>
        <w:spacing w:line="276" w:lineRule="auto"/>
        <w:jc w:val="center"/>
        <w:rPr>
          <w:bCs/>
          <w:sz w:val="16"/>
          <w:szCs w:val="28"/>
        </w:rPr>
      </w:pPr>
    </w:p>
    <w:p>
      <w:pPr>
        <w:jc w:val="center"/>
        <w:rPr>
          <w:b/>
          <w:bCs/>
          <w:szCs w:val="28"/>
        </w:rPr>
      </w:pPr>
      <w:r>
        <w:rPr>
          <w:b/>
          <w:bCs/>
          <w:szCs w:val="28"/>
        </w:rPr>
        <w:t>NGHỊ QUYẾT</w:t>
      </w:r>
    </w:p>
    <w:p>
      <w:pPr>
        <w:jc w:val="center"/>
        <w:rPr>
          <w:b/>
          <w:bCs/>
          <w:szCs w:val="28"/>
        </w:rPr>
      </w:pPr>
      <w:r>
        <w:rPr>
          <w:b/>
          <w:bCs/>
          <w:szCs w:val="28"/>
        </w:rPr>
        <w:t>Về việc sắp xếp thôn</w:t>
      </w:r>
      <w:r>
        <w:rPr>
          <w:b/>
          <w:bCs/>
          <w:szCs w:val="28"/>
          <w:lang w:val="vi-VN"/>
        </w:rPr>
        <w:t xml:space="preserve"> </w:t>
      </w:r>
      <w:r>
        <w:rPr>
          <w:b/>
          <w:bCs/>
          <w:szCs w:val="28"/>
        </w:rPr>
        <w:t>trên địa bàn xã Đồng Lê</w:t>
      </w:r>
    </w:p>
    <w:p>
      <w:pPr>
        <w:spacing w:before="80" w:after="80"/>
        <w:jc w:val="both"/>
        <w:rPr>
          <w:sz w:val="14"/>
          <w:szCs w:val="28"/>
        </w:rPr>
      </w:pPr>
      <w:r>
        <w:rPr>
          <w:noProof/>
          <w:sz w:val="14"/>
          <w:szCs w:val="28"/>
        </w:rPr>
        <w:pict>
          <v:line id="Straight Connector 4" o:spid="_x0000_s1027" style="position:absolute;left:0;text-align:left;z-index:251660800;visibility:visible" from="166.45pt,.9pt" to="289.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OpG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"/>
        </w:pict>
      </w:r>
    </w:p>
    <w:p>
      <w:pPr>
        <w:ind w:firstLine="561"/>
        <w:jc w:val="center"/>
        <w:rPr>
          <w:b/>
          <w:szCs w:val="28"/>
        </w:rPr>
      </w:pPr>
      <w:r>
        <w:rPr>
          <w:b/>
          <w:szCs w:val="28"/>
        </w:rPr>
        <w:t>HỘI ĐỒNG NHÂN DÂN XÃ ĐỒNG LÊ</w:t>
      </w:r>
    </w:p>
    <w:p>
      <w:pPr>
        <w:ind w:firstLine="561"/>
        <w:jc w:val="center"/>
        <w:rPr>
          <w:b/>
          <w:szCs w:val="28"/>
        </w:rPr>
      </w:pPr>
      <w:r>
        <w:rPr>
          <w:b/>
          <w:szCs w:val="28"/>
        </w:rPr>
        <w:t>KHÓA II, KỲ HỌP THỨ BA</w:t>
      </w:r>
    </w:p>
    <w:p>
      <w:pPr>
        <w:spacing w:before="80" w:after="80"/>
        <w:ind w:firstLine="561"/>
        <w:jc w:val="center"/>
        <w:rPr>
          <w:b/>
          <w:sz w:val="2"/>
          <w:szCs w:val="28"/>
        </w:rPr>
      </w:pPr>
    </w:p>
    <w:p>
      <w:pPr>
        <w:spacing w:before="40" w:after="40" w:line="264" w:lineRule="auto"/>
        <w:ind w:firstLine="720"/>
        <w:jc w:val="both"/>
        <w:rPr>
          <w:i/>
          <w:szCs w:val="28"/>
        </w:rPr>
      </w:pPr>
      <w:r>
        <w:rPr>
          <w:i/>
          <w:szCs w:val="28"/>
        </w:rPr>
        <w:t>Căn cứ Luật Tổ chức chính quyền địa phương số 72/2025/QH15;</w:t>
      </w:r>
    </w:p>
    <w:p>
      <w:pPr>
        <w:spacing w:before="40" w:after="40" w:line="264" w:lineRule="auto"/>
        <w:ind w:firstLine="720"/>
        <w:jc w:val="both"/>
        <w:rPr>
          <w:i/>
          <w:szCs w:val="28"/>
        </w:rPr>
      </w:pPr>
      <w:r>
        <w:rPr>
          <w:i/>
          <w:szCs w:val="28"/>
        </w:rPr>
        <w:t xml:space="preserve">Căn cứ Nghị định số 185/2026/NĐ-CP ngày 26 tháng 5 năm 2026 của Chính phủ quy định về tổ chức, hoạt động của thôn, tổ dân phố và chế độ, chính sách đối với người hoạt động không chuyên trách ở thôn, tổ dân phố; </w:t>
      </w:r>
    </w:p>
    <w:p>
      <w:pPr>
        <w:spacing w:before="40" w:after="40" w:line="264" w:lineRule="auto"/>
        <w:ind w:firstLine="720"/>
        <w:jc w:val="both"/>
        <w:rPr>
          <w:i/>
          <w:szCs w:val="28"/>
        </w:rPr>
      </w:pPr>
      <w:r>
        <w:rPr>
          <w:i/>
          <w:szCs w:val="28"/>
        </w:rPr>
        <w:t>Chỉ thị số 21/CT-TTg ngày 20 tháng 5 năm 2026 của Thủ tướng Chính phủ về việc sắp xếp thôn, tổ dân phố và bố trí, sử dụng, chế độ, chính sách đối với người hoạt động không chuyên trách ở cấp xã, ở thôn, tổ dân phố;</w:t>
      </w:r>
    </w:p>
    <w:p>
      <w:pPr>
        <w:spacing w:before="40" w:after="40" w:line="264" w:lineRule="auto"/>
        <w:ind w:firstLine="720"/>
        <w:jc w:val="both"/>
        <w:rPr>
          <w:i/>
          <w:color w:val="000000" w:themeColor="text1"/>
          <w:w w:val="95"/>
          <w:szCs w:val="28"/>
        </w:rPr>
      </w:pPr>
      <w:r>
        <w:rPr>
          <w:i/>
          <w:w w:val="95"/>
          <w:szCs w:val="28"/>
        </w:rPr>
        <w:t xml:space="preserve">Căn </w:t>
      </w:r>
      <w:r>
        <w:rPr>
          <w:i/>
          <w:color w:val="000000" w:themeColor="text1"/>
          <w:w w:val="95"/>
          <w:szCs w:val="28"/>
        </w:rPr>
        <w:t>cứ Phương án tổng thể số 2856/PA-UBND ngày 15/6/2026 của Ủy ban nhân dân tỉnh về sắp xếp, tổ chức lại thôn, tổ dân phố trên địa bàn tỉnh Quảng Trị;</w:t>
      </w:r>
    </w:p>
    <w:p>
      <w:pPr>
        <w:spacing w:before="40" w:after="40" w:line="264" w:lineRule="auto"/>
        <w:ind w:firstLine="720"/>
        <w:jc w:val="both"/>
        <w:rPr>
          <w:i/>
          <w:szCs w:val="28"/>
        </w:rPr>
      </w:pPr>
      <w:r>
        <w:rPr>
          <w:i/>
          <w:szCs w:val="28"/>
        </w:rPr>
        <w:t xml:space="preserve">Căn cứ Đề án </w:t>
      </w:r>
      <w:r>
        <w:rPr>
          <w:i/>
          <w:iCs/>
          <w:sz w:val="26"/>
          <w:szCs w:val="26"/>
        </w:rPr>
        <w:t>số 1212/ĐA-UBND</w:t>
      </w:r>
      <w:r>
        <w:rPr>
          <w:i/>
          <w:szCs w:val="28"/>
        </w:rPr>
        <w:t xml:space="preserve"> ngày 23/6/2026 của Ủy ban nhân dân xã</w:t>
      </w:r>
      <w:r>
        <w:rPr>
          <w:i/>
          <w:szCs w:val="28"/>
          <w:lang w:val="vi-VN"/>
        </w:rPr>
        <w:t xml:space="preserve"> Đồng Lê</w:t>
      </w:r>
      <w:r>
        <w:rPr>
          <w:i/>
          <w:szCs w:val="28"/>
        </w:rPr>
        <w:t xml:space="preserve"> về sắp xếp, tổ chức lại thôn, tiểu</w:t>
      </w:r>
      <w:r>
        <w:rPr>
          <w:i/>
          <w:szCs w:val="28"/>
          <w:lang w:val="vi-VN"/>
        </w:rPr>
        <w:t xml:space="preserve"> khu</w:t>
      </w:r>
      <w:r>
        <w:rPr>
          <w:i/>
          <w:szCs w:val="28"/>
        </w:rPr>
        <w:t xml:space="preserve"> trên địa bàn xã</w:t>
      </w:r>
      <w:r>
        <w:rPr>
          <w:i/>
          <w:szCs w:val="28"/>
          <w:lang w:val="vi-VN"/>
        </w:rPr>
        <w:t xml:space="preserve"> Đồng Lê</w:t>
      </w:r>
      <w:r>
        <w:rPr>
          <w:i/>
          <w:szCs w:val="28"/>
        </w:rPr>
        <w:t>;</w:t>
      </w:r>
    </w:p>
    <w:p>
      <w:pPr>
        <w:spacing w:before="40" w:after="40" w:line="264" w:lineRule="auto"/>
        <w:ind w:firstLine="720"/>
        <w:jc w:val="both"/>
        <w:rPr>
          <w:i/>
          <w:szCs w:val="28"/>
        </w:rPr>
      </w:pPr>
      <w:r>
        <w:rPr>
          <w:i/>
          <w:szCs w:val="28"/>
        </w:rPr>
        <w:t>Xét Tờ trình số 1210/TTr-UBND ngày 23 tháng 6 năm 2026 của Ủy ban nhân dân xã Đồng Lê về sắp xếp, tổ chức lại thôn, tiểu khu trên địa bàn; Báo cáo thẩm tra của</w:t>
      </w:r>
      <w:r>
        <w:rPr>
          <w:i/>
          <w:iCs/>
          <w:szCs w:val="28"/>
        </w:rPr>
        <w:t xml:space="preserve"> </w:t>
      </w:r>
      <w:r>
        <w:rPr>
          <w:i/>
          <w:iCs/>
        </w:rPr>
        <w:t>Ban</w:t>
      </w:r>
      <w:r>
        <w:rPr>
          <w:i/>
          <w:iCs/>
          <w:spacing w:val="-2"/>
        </w:rPr>
        <w:t xml:space="preserve"> </w:t>
      </w:r>
      <w:r>
        <w:rPr>
          <w:i/>
          <w:iCs/>
        </w:rPr>
        <w:t>Văn</w:t>
      </w:r>
      <w:r>
        <w:rPr>
          <w:i/>
          <w:iCs/>
          <w:spacing w:val="-2"/>
        </w:rPr>
        <w:t xml:space="preserve"> </w:t>
      </w:r>
      <w:r>
        <w:rPr>
          <w:i/>
          <w:iCs/>
        </w:rPr>
        <w:t>hóa</w:t>
      </w:r>
      <w:r>
        <w:rPr>
          <w:i/>
          <w:iCs/>
          <w:spacing w:val="-2"/>
        </w:rPr>
        <w:t xml:space="preserve"> </w:t>
      </w:r>
      <w:r>
        <w:rPr>
          <w:i/>
          <w:iCs/>
        </w:rPr>
        <w:t>-</w:t>
      </w:r>
      <w:r>
        <w:rPr>
          <w:i/>
          <w:iCs/>
          <w:spacing w:val="-2"/>
        </w:rPr>
        <w:t xml:space="preserve"> </w:t>
      </w:r>
      <w:r>
        <w:rPr>
          <w:i/>
          <w:iCs/>
        </w:rPr>
        <w:t>Xã</w:t>
      </w:r>
      <w:r>
        <w:rPr>
          <w:i/>
          <w:iCs/>
          <w:spacing w:val="-2"/>
        </w:rPr>
        <w:t xml:space="preserve"> </w:t>
      </w:r>
      <w:r>
        <w:rPr>
          <w:i/>
          <w:iCs/>
        </w:rPr>
        <w:t>hội</w:t>
      </w:r>
      <w:r>
        <w:rPr>
          <w:i/>
          <w:iCs/>
          <w:spacing w:val="-2"/>
        </w:rPr>
        <w:t xml:space="preserve"> </w:t>
      </w:r>
      <w:r>
        <w:rPr>
          <w:i/>
          <w:iCs/>
        </w:rPr>
        <w:t>Hội</w:t>
      </w:r>
      <w:r>
        <w:rPr>
          <w:i/>
          <w:iCs/>
          <w:spacing w:val="-2"/>
        </w:rPr>
        <w:t xml:space="preserve"> </w:t>
      </w:r>
      <w:r>
        <w:rPr>
          <w:i/>
          <w:szCs w:val="28"/>
        </w:rPr>
        <w:t>Hội đồng nhân dân xã; ý kiến thảo luận của đại biểu Hội đồng nhân dân xã tại kỳ họp,</w:t>
      </w:r>
    </w:p>
    <w:p>
      <w:pPr>
        <w:shd w:val="clear" w:color="auto" w:fill="FFFFFF"/>
        <w:spacing w:before="80" w:after="80"/>
        <w:jc w:val="center"/>
        <w:rPr>
          <w:rFonts w:asciiTheme="majorHAnsi" w:hAnsiTheme="majorHAnsi" w:cstheme="majorHAnsi"/>
          <w:b/>
          <w:spacing w:val="-4"/>
          <w:sz w:val="12"/>
          <w:szCs w:val="28"/>
        </w:rPr>
      </w:pPr>
    </w:p>
    <w:p>
      <w:pPr>
        <w:shd w:val="clear" w:color="auto" w:fill="FFFFFF"/>
        <w:spacing w:before="80" w:after="80"/>
        <w:jc w:val="center"/>
        <w:rPr>
          <w:rFonts w:asciiTheme="majorHAnsi" w:hAnsiTheme="majorHAnsi" w:cstheme="majorHAnsi"/>
          <w:b/>
          <w:szCs w:val="28"/>
        </w:rPr>
      </w:pPr>
      <w:r>
        <w:rPr>
          <w:rFonts w:asciiTheme="majorHAnsi" w:hAnsiTheme="majorHAnsi" w:cstheme="majorHAnsi"/>
          <w:b/>
          <w:szCs w:val="28"/>
        </w:rPr>
        <w:t>QUYẾT NGHỊ:</w:t>
      </w:r>
    </w:p>
    <w:p>
      <w:pPr>
        <w:shd w:val="clear" w:color="auto" w:fill="FFFFFF"/>
        <w:spacing w:before="80" w:after="80"/>
        <w:jc w:val="center"/>
        <w:rPr>
          <w:rFonts w:asciiTheme="majorHAnsi" w:hAnsiTheme="majorHAnsi" w:cstheme="majorHAnsi"/>
          <w:b/>
          <w:sz w:val="2"/>
          <w:szCs w:val="28"/>
        </w:rPr>
      </w:pPr>
    </w:p>
    <w:p>
      <w:pPr>
        <w:spacing w:before="60" w:after="60" w:line="264" w:lineRule="auto"/>
        <w:ind w:firstLine="720"/>
        <w:jc w:val="both"/>
        <w:rPr>
          <w:rFonts w:asciiTheme="majorHAnsi" w:hAnsiTheme="majorHAnsi" w:cstheme="majorHAnsi"/>
          <w:szCs w:val="28"/>
          <w:lang w:val="nb-NO"/>
        </w:rPr>
      </w:pPr>
      <w:r>
        <w:rPr>
          <w:rFonts w:asciiTheme="majorHAnsi" w:hAnsiTheme="majorHAnsi" w:cstheme="majorHAnsi"/>
          <w:b/>
          <w:szCs w:val="28"/>
          <w:lang w:val="nb-NO"/>
        </w:rPr>
        <w:t>Điều 1.</w:t>
      </w:r>
      <w:r>
        <w:rPr>
          <w:rFonts w:asciiTheme="majorHAnsi" w:hAnsiTheme="majorHAnsi" w:cstheme="majorHAnsi"/>
          <w:szCs w:val="28"/>
          <w:lang w:val="nb-NO"/>
        </w:rPr>
        <w:t xml:space="preserve"> Sắp xếp 34 thôn, tiểu khu (25 thôn, 9 tiểu khu) trên địa bàn thành 16 thôn, cụ thể như sau:</w:t>
      </w:r>
    </w:p>
    <w:p>
      <w:pPr>
        <w:spacing w:before="60" w:after="60" w:line="264" w:lineRule="auto"/>
        <w:ind w:firstLine="720"/>
        <w:jc w:val="both"/>
        <w:rPr>
          <w:rFonts w:asciiTheme="majorHAnsi" w:hAnsiTheme="majorHAnsi" w:cstheme="majorHAnsi"/>
          <w:szCs w:val="28"/>
          <w:lang w:val="nb-NO"/>
        </w:rPr>
      </w:pPr>
      <w:r>
        <w:rPr>
          <w:rFonts w:asciiTheme="majorHAnsi" w:hAnsiTheme="majorHAnsi" w:cstheme="majorHAnsi"/>
          <w:szCs w:val="28"/>
          <w:lang w:val="nb-NO"/>
        </w:rPr>
        <w:t>1. Sắp xếp</w:t>
      </w:r>
      <w:r>
        <w:rPr>
          <w:rFonts w:asciiTheme="majorHAnsi" w:hAnsiTheme="majorHAnsi" w:cstheme="majorHAnsi"/>
          <w:b/>
          <w:szCs w:val="28"/>
          <w:lang w:val="nb-NO"/>
        </w:rPr>
        <w:t xml:space="preserve"> </w:t>
      </w:r>
      <w:r>
        <w:rPr>
          <w:rFonts w:asciiTheme="majorHAnsi" w:hAnsiTheme="majorHAnsi" w:cstheme="majorHAnsi"/>
          <w:szCs w:val="28"/>
          <w:lang w:val="nb-NO"/>
        </w:rPr>
        <w:t>toàn bộ thôn</w:t>
      </w:r>
      <w:r>
        <w:rPr>
          <w:rFonts w:asciiTheme="majorHAnsi" w:hAnsiTheme="majorHAnsi" w:cstheme="majorHAnsi"/>
          <w:b/>
          <w:szCs w:val="28"/>
          <w:lang w:val="nb-NO"/>
        </w:rPr>
        <w:t xml:space="preserve"> </w:t>
      </w:r>
      <w:r>
        <w:rPr>
          <w:rFonts w:asciiTheme="majorHAnsi" w:hAnsiTheme="majorHAnsi" w:cstheme="majorHAnsi"/>
          <w:szCs w:val="28"/>
          <w:lang w:val="nb-NO"/>
        </w:rPr>
        <w:t>Kim Sơn (211 hộ), toàn bộ thôn Bắc Sơn (111</w:t>
      </w:r>
      <w:r>
        <w:rPr>
          <w:rFonts w:asciiTheme="majorHAnsi" w:hAnsiTheme="majorHAnsi" w:cstheme="majorHAnsi"/>
          <w:szCs w:val="28"/>
          <w:lang w:val="vi-VN"/>
        </w:rPr>
        <w:t xml:space="preserve"> </w:t>
      </w:r>
      <w:r>
        <w:rPr>
          <w:rFonts w:asciiTheme="majorHAnsi" w:hAnsiTheme="majorHAnsi" w:cstheme="majorHAnsi"/>
          <w:szCs w:val="28"/>
          <w:lang w:val="nb-NO"/>
        </w:rPr>
        <w:t>hộ) và toàn bộ thôn Tân Sơn (180 hộ) thành thôn mới là thôn Sơn Hóa (502 hộ).</w:t>
      </w:r>
    </w:p>
    <w:p>
      <w:pPr>
        <w:spacing w:before="60" w:after="60" w:line="264" w:lineRule="auto"/>
        <w:ind w:firstLine="720"/>
        <w:jc w:val="both"/>
        <w:rPr>
          <w:rFonts w:asciiTheme="majorHAnsi" w:hAnsiTheme="majorHAnsi" w:cstheme="majorHAnsi"/>
          <w:szCs w:val="28"/>
          <w:lang w:val="nb-NO"/>
        </w:rPr>
      </w:pPr>
      <w:r>
        <w:rPr>
          <w:rFonts w:asciiTheme="majorHAnsi" w:hAnsiTheme="majorHAnsi" w:cstheme="majorHAnsi"/>
          <w:szCs w:val="28"/>
          <w:lang w:val="nb-NO"/>
        </w:rPr>
        <w:t>2. Sắp xếp toàn bộ thôn Xuân Phú (114</w:t>
      </w:r>
      <w:r>
        <w:rPr>
          <w:rFonts w:asciiTheme="majorHAnsi" w:hAnsiTheme="majorHAnsi" w:cstheme="majorHAnsi"/>
          <w:szCs w:val="28"/>
          <w:lang w:val="vi-VN"/>
        </w:rPr>
        <w:t xml:space="preserve"> </w:t>
      </w:r>
      <w:r>
        <w:rPr>
          <w:rFonts w:asciiTheme="majorHAnsi" w:hAnsiTheme="majorHAnsi" w:cstheme="majorHAnsi"/>
          <w:szCs w:val="28"/>
          <w:lang w:val="nb-NO"/>
        </w:rPr>
        <w:t>hộ), toàn bộ thôn Đồng Sơn (125</w:t>
      </w:r>
      <w:r>
        <w:rPr>
          <w:rFonts w:asciiTheme="majorHAnsi" w:hAnsiTheme="majorHAnsi" w:cstheme="majorHAnsi"/>
          <w:szCs w:val="28"/>
          <w:lang w:val="vi-VN"/>
        </w:rPr>
        <w:t xml:space="preserve"> </w:t>
      </w:r>
      <w:r>
        <w:rPr>
          <w:rFonts w:asciiTheme="majorHAnsi" w:hAnsiTheme="majorHAnsi" w:cstheme="majorHAnsi"/>
          <w:szCs w:val="28"/>
          <w:lang w:val="nb-NO"/>
        </w:rPr>
        <w:t>hộ), toàn bộ Tiểu khu Tân Lập (103 hộ) và một phần của thôn Tam Đăng (24 hộ) thành thôn mới là thôn Đồng Xuân (366 hộ).</w:t>
      </w:r>
    </w:p>
    <w:p>
      <w:pPr>
        <w:pStyle w:val="BodyText"/>
        <w:spacing w:before="60" w:after="60" w:line="264" w:lineRule="auto"/>
        <w:ind w:firstLine="720"/>
        <w:rPr>
          <w:rFonts w:asciiTheme="majorHAnsi" w:hAnsiTheme="majorHAnsi" w:cstheme="majorHAnsi"/>
          <w:szCs w:val="28"/>
          <w:lang w:val="nb-NO"/>
        </w:rPr>
      </w:pPr>
      <w:r>
        <w:rPr>
          <w:rFonts w:asciiTheme="majorHAnsi" w:hAnsiTheme="majorHAnsi" w:cstheme="majorHAnsi"/>
          <w:szCs w:val="28"/>
          <w:lang w:val="nb-NO"/>
        </w:rPr>
        <w:t>3. Sắp xếp toàn bộ thôn Tam Đa (238 hộ) và một phần của thôn Tam Đăng (162 hộ) thành thôn mới là thôn Tam Đa (400 hộ).</w:t>
      </w:r>
    </w:p>
    <w:p>
      <w:pPr>
        <w:pStyle w:val="BodyText"/>
        <w:spacing w:before="60" w:after="60" w:line="264" w:lineRule="auto"/>
        <w:ind w:firstLine="720"/>
        <w:rPr>
          <w:rFonts w:asciiTheme="majorHAnsi" w:hAnsiTheme="majorHAnsi" w:cstheme="majorHAnsi"/>
          <w:szCs w:val="28"/>
          <w:lang w:val="nb-NO"/>
        </w:rPr>
      </w:pPr>
      <w:r>
        <w:rPr>
          <w:rFonts w:asciiTheme="majorHAnsi" w:hAnsiTheme="majorHAnsi" w:cstheme="majorHAnsi"/>
          <w:szCs w:val="28"/>
          <w:lang w:val="nb-NO"/>
        </w:rPr>
        <w:t>4. Sắp xếp toàn bộ Tiểu khu Đồng Văn (383 hộ), toàn bộ Tiểu khu Tam Đồng (224) thành thôn mới là thôn Đồng Văn (607 hộ).</w:t>
      </w:r>
    </w:p>
    <w:p>
      <w:pPr>
        <w:pStyle w:val="BodyText"/>
        <w:spacing w:before="60" w:after="60" w:line="264" w:lineRule="auto"/>
        <w:ind w:firstLine="720"/>
        <w:rPr>
          <w:rFonts w:asciiTheme="majorHAnsi" w:hAnsiTheme="majorHAnsi" w:cstheme="majorHAnsi"/>
          <w:szCs w:val="28"/>
          <w:lang w:val="nb-NO"/>
        </w:rPr>
      </w:pPr>
      <w:r>
        <w:rPr>
          <w:rFonts w:asciiTheme="majorHAnsi" w:hAnsiTheme="majorHAnsi" w:cstheme="majorHAnsi"/>
          <w:szCs w:val="28"/>
          <w:lang w:val="nb-NO"/>
        </w:rPr>
        <w:t>5. Sắp xếp toàn bộ Tiểu khu 1 (299) hộ và toàn bộ Tiểu khu 2 (236 hộ) thành thôn mới là thôn Đồng Tiến (535 hộ)</w:t>
      </w:r>
    </w:p>
    <w:p>
      <w:pPr>
        <w:pStyle w:val="BodyText"/>
        <w:spacing w:before="60" w:after="60" w:line="264" w:lineRule="auto"/>
        <w:ind w:firstLine="720"/>
        <w:rPr>
          <w:rFonts w:asciiTheme="majorHAnsi" w:hAnsiTheme="majorHAnsi" w:cstheme="majorHAnsi"/>
          <w:szCs w:val="28"/>
          <w:lang w:val="nb-NO"/>
        </w:rPr>
      </w:pPr>
      <w:r>
        <w:rPr>
          <w:rFonts w:asciiTheme="majorHAnsi" w:hAnsiTheme="majorHAnsi" w:cstheme="majorHAnsi"/>
          <w:szCs w:val="28"/>
          <w:lang w:val="nb-NO"/>
        </w:rPr>
        <w:lastRenderedPageBreak/>
        <w:t>6. Sắp xếp toàn bộ Tiểu khu 3 (180 hộ), toàn bộ Tiểu khu 4 (153 hộ) và toàn bộ Tiểu khu Đồng Tân (192) thành thôn mới là thôn Đồng Tân (525 hộ).</w:t>
      </w:r>
    </w:p>
    <w:p>
      <w:pPr>
        <w:pStyle w:val="BodyText"/>
        <w:spacing w:before="60" w:after="60" w:line="264" w:lineRule="auto"/>
        <w:ind w:firstLine="720"/>
        <w:rPr>
          <w:rFonts w:asciiTheme="majorHAnsi" w:hAnsiTheme="majorHAnsi" w:cstheme="majorHAnsi"/>
          <w:szCs w:val="28"/>
          <w:lang w:val="nb-NO"/>
        </w:rPr>
      </w:pPr>
      <w:r>
        <w:rPr>
          <w:rFonts w:asciiTheme="majorHAnsi" w:hAnsiTheme="majorHAnsi" w:cstheme="majorHAnsi"/>
          <w:szCs w:val="28"/>
          <w:lang w:val="nb-NO"/>
        </w:rPr>
        <w:t>7. Sắp xếp toàn bộ Tiểu khu Lưu Thuận (163 hộ) và toàn bộ thôn Yên Xuân (192 hộ) thành thôn mới thôn Yên Xuân (355 hộ).</w:t>
      </w:r>
    </w:p>
    <w:p>
      <w:pPr>
        <w:pStyle w:val="BodyText"/>
        <w:spacing w:before="60" w:after="60" w:line="264" w:lineRule="auto"/>
        <w:ind w:firstLine="720"/>
        <w:rPr>
          <w:rFonts w:asciiTheme="majorHAnsi" w:hAnsiTheme="majorHAnsi" w:cstheme="majorHAnsi"/>
          <w:szCs w:val="28"/>
          <w:lang w:val="nb-NO"/>
        </w:rPr>
      </w:pPr>
      <w:r>
        <w:rPr>
          <w:rFonts w:asciiTheme="majorHAnsi" w:hAnsiTheme="majorHAnsi" w:cstheme="majorHAnsi"/>
          <w:szCs w:val="28"/>
          <w:lang w:val="nb-NO"/>
        </w:rPr>
        <w:t>8. Sắp xếp toàn bộ thôn Đồng Lê (204 hộ) và toàn bộ thôn Quảng Hóa (231 hộ) thành thôn mới là thôn Lê Hóa (435 hộ).</w:t>
      </w:r>
    </w:p>
    <w:p>
      <w:pPr>
        <w:pStyle w:val="BodyText"/>
        <w:spacing w:before="60" w:after="60" w:line="264" w:lineRule="auto"/>
        <w:ind w:firstLine="720"/>
        <w:rPr>
          <w:rFonts w:asciiTheme="majorHAnsi" w:hAnsiTheme="majorHAnsi" w:cstheme="majorHAnsi"/>
          <w:szCs w:val="28"/>
          <w:lang w:val="nb-NO"/>
        </w:rPr>
      </w:pPr>
      <w:r>
        <w:rPr>
          <w:rFonts w:asciiTheme="majorHAnsi" w:hAnsiTheme="majorHAnsi" w:cstheme="majorHAnsi"/>
          <w:szCs w:val="28"/>
          <w:lang w:val="nb-NO"/>
        </w:rPr>
        <w:t>9. Sắp xếp toàn bộ thôn Tiền Phong (87 hộ) và toàn bộ thôn Thượng Phong (124 hộ) thành thôn mới là thôn Thượng Phong (211 hộ).</w:t>
      </w:r>
    </w:p>
    <w:p>
      <w:pPr>
        <w:pStyle w:val="BodyText"/>
        <w:spacing w:before="60" w:after="60" w:line="264" w:lineRule="auto"/>
        <w:ind w:firstLine="720"/>
        <w:rPr>
          <w:rFonts w:asciiTheme="majorHAnsi" w:hAnsiTheme="majorHAnsi" w:cstheme="majorHAnsi"/>
          <w:szCs w:val="28"/>
          <w:lang w:val="nb-NO"/>
        </w:rPr>
      </w:pPr>
      <w:r>
        <w:rPr>
          <w:rFonts w:asciiTheme="majorHAnsi" w:hAnsiTheme="majorHAnsi" w:cstheme="majorHAnsi"/>
          <w:szCs w:val="28"/>
          <w:lang w:val="nb-NO"/>
        </w:rPr>
        <w:t>10. Sắp xếp toàn bộ thôn Thuận Tiến (167 hộ) và toàn bộ thôn Xuân Canh (101 hộ) thành thôn mới là thôn Thuận Hóa (268 hộ).</w:t>
      </w:r>
    </w:p>
    <w:p>
      <w:pPr>
        <w:pStyle w:val="BodyText"/>
        <w:spacing w:before="60" w:after="60" w:line="264" w:lineRule="auto"/>
        <w:ind w:firstLine="720"/>
        <w:rPr>
          <w:rFonts w:asciiTheme="majorHAnsi" w:hAnsiTheme="majorHAnsi" w:cstheme="majorHAnsi"/>
          <w:szCs w:val="28"/>
          <w:lang w:val="nb-NO"/>
        </w:rPr>
      </w:pPr>
      <w:r>
        <w:rPr>
          <w:rFonts w:asciiTheme="majorHAnsi" w:hAnsiTheme="majorHAnsi" w:cstheme="majorHAnsi"/>
          <w:szCs w:val="28"/>
          <w:lang w:val="nb-NO"/>
        </w:rPr>
        <w:t>11. Sắp xếp toàn bộ thôn Đồng Lào (123 hộ) và toàn bộ thôn Hạ Lào (114 hộ) thành thôn mới là thôn Đồng Lào (237 hộ).</w:t>
      </w:r>
    </w:p>
    <w:p>
      <w:pPr>
        <w:pStyle w:val="BodyText"/>
        <w:spacing w:before="60" w:after="60" w:line="264" w:lineRule="auto"/>
        <w:ind w:firstLine="720"/>
        <w:rPr>
          <w:rFonts w:asciiTheme="majorHAnsi" w:hAnsiTheme="majorHAnsi" w:cstheme="majorHAnsi"/>
          <w:szCs w:val="28"/>
          <w:lang w:val="nb-NO"/>
        </w:rPr>
      </w:pPr>
      <w:r>
        <w:rPr>
          <w:rFonts w:asciiTheme="majorHAnsi" w:hAnsiTheme="majorHAnsi" w:cstheme="majorHAnsi"/>
          <w:szCs w:val="28"/>
          <w:lang w:val="nb-NO"/>
        </w:rPr>
        <w:t>12. Sắp xếp toàn bộ thôn Kim Thủy (204 hộ) và toàn bộ thôn Kim Tân (159 hộ) thành thôn mới là thôn Tân Thủy (363 hộ).</w:t>
      </w:r>
    </w:p>
    <w:p>
      <w:pPr>
        <w:pStyle w:val="BodyText"/>
        <w:spacing w:before="60" w:after="60" w:line="264" w:lineRule="auto"/>
        <w:ind w:firstLine="720"/>
        <w:rPr>
          <w:rFonts w:asciiTheme="majorHAnsi" w:hAnsiTheme="majorHAnsi" w:cstheme="majorHAnsi"/>
          <w:szCs w:val="28"/>
          <w:lang w:val="nb-NO"/>
        </w:rPr>
      </w:pPr>
      <w:r>
        <w:rPr>
          <w:rFonts w:asciiTheme="majorHAnsi" w:hAnsiTheme="majorHAnsi" w:cstheme="majorHAnsi"/>
          <w:szCs w:val="28"/>
          <w:lang w:val="nb-NO"/>
        </w:rPr>
        <w:t>13. Sắp xếp toàn bộ thôn Kim Trung (220 hộ) và toàn bộ thôn Kim Ninh (150 hộ) thành thôn mới là thôn Trung Ninh (370 hộ).</w:t>
      </w:r>
    </w:p>
    <w:p>
      <w:pPr>
        <w:pStyle w:val="BodyText"/>
        <w:spacing w:before="60" w:after="60" w:line="264" w:lineRule="auto"/>
        <w:ind w:firstLine="720"/>
        <w:rPr>
          <w:rFonts w:asciiTheme="majorHAnsi" w:hAnsiTheme="majorHAnsi" w:cstheme="majorHAnsi"/>
          <w:szCs w:val="28"/>
          <w:lang w:val="nb-NO"/>
        </w:rPr>
      </w:pPr>
      <w:r>
        <w:rPr>
          <w:rFonts w:asciiTheme="majorHAnsi" w:hAnsiTheme="majorHAnsi" w:cstheme="majorHAnsi"/>
          <w:szCs w:val="28"/>
          <w:lang w:val="nb-NO"/>
        </w:rPr>
        <w:t>14. Sắp xếp toàn bộ thôn Kim Lũ 1 (281 hộ), toàn bộ thôn Kim Lũ 2 (280 hộ) và  toàn bộ thôn Kim Tiến (108 hộ) thành thôn Kim Lũ (699 hộ).</w:t>
      </w:r>
    </w:p>
    <w:p>
      <w:pPr>
        <w:pStyle w:val="BodyText"/>
        <w:spacing w:before="60" w:after="60" w:line="264" w:lineRule="auto"/>
        <w:ind w:firstLine="720"/>
        <w:rPr>
          <w:rFonts w:asciiTheme="majorHAnsi" w:hAnsiTheme="majorHAnsi" w:cstheme="majorHAnsi"/>
          <w:szCs w:val="28"/>
          <w:lang w:val="nb-NO"/>
        </w:rPr>
      </w:pPr>
      <w:r>
        <w:rPr>
          <w:rFonts w:asciiTheme="majorHAnsi" w:hAnsiTheme="majorHAnsi" w:cstheme="majorHAnsi"/>
          <w:szCs w:val="28"/>
          <w:lang w:val="nb-NO"/>
        </w:rPr>
        <w:t>15. Giữ nguyên toàn bộ thôn Ba Tâm (222 hộ).</w:t>
      </w:r>
    </w:p>
    <w:p>
      <w:pPr>
        <w:pStyle w:val="BodyText"/>
        <w:spacing w:before="60" w:after="60" w:line="264" w:lineRule="auto"/>
        <w:ind w:firstLine="720"/>
        <w:rPr>
          <w:rFonts w:asciiTheme="majorHAnsi" w:hAnsiTheme="majorHAnsi" w:cstheme="majorHAnsi"/>
          <w:szCs w:val="28"/>
          <w:lang w:val="nb-NO"/>
        </w:rPr>
      </w:pPr>
      <w:r>
        <w:rPr>
          <w:rFonts w:asciiTheme="majorHAnsi" w:hAnsiTheme="majorHAnsi" w:cstheme="majorHAnsi"/>
          <w:szCs w:val="28"/>
          <w:lang w:val="nb-NO"/>
        </w:rPr>
        <w:t>16. Giữ nguyên toàn bộ thôn Kim Lịch (205 hộ)</w:t>
      </w:r>
    </w:p>
    <w:p>
      <w:pPr>
        <w:spacing w:before="60" w:after="60" w:line="264" w:lineRule="auto"/>
        <w:ind w:firstLine="720"/>
        <w:jc w:val="both"/>
        <w:rPr>
          <w:rFonts w:asciiTheme="majorHAnsi" w:hAnsiTheme="majorHAnsi" w:cstheme="majorHAnsi"/>
          <w:b/>
          <w:szCs w:val="28"/>
          <w:lang w:val="nb-NO"/>
        </w:rPr>
      </w:pPr>
      <w:r>
        <w:rPr>
          <w:rFonts w:asciiTheme="majorHAnsi" w:hAnsiTheme="majorHAnsi" w:cstheme="majorHAnsi"/>
          <w:b/>
          <w:szCs w:val="28"/>
          <w:lang w:val="nb-NO"/>
        </w:rPr>
        <w:t>Điều 2. Tổ chức thực hiện</w:t>
      </w:r>
    </w:p>
    <w:p>
      <w:pPr>
        <w:spacing w:before="60" w:after="60" w:line="264" w:lineRule="auto"/>
        <w:ind w:firstLine="720"/>
        <w:jc w:val="both"/>
        <w:rPr>
          <w:rFonts w:asciiTheme="majorHAnsi" w:hAnsiTheme="majorHAnsi" w:cstheme="majorHAnsi"/>
          <w:szCs w:val="28"/>
          <w:lang w:val="nb-NO"/>
        </w:rPr>
      </w:pPr>
      <w:r>
        <w:rPr>
          <w:rFonts w:asciiTheme="majorHAnsi" w:hAnsiTheme="majorHAnsi" w:cstheme="majorHAnsi"/>
          <w:szCs w:val="28"/>
          <w:lang w:val="nb-NO"/>
        </w:rPr>
        <w:t>1.</w:t>
      </w:r>
      <w:r>
        <w:rPr>
          <w:rFonts w:asciiTheme="majorHAnsi" w:hAnsiTheme="majorHAnsi" w:cstheme="majorHAnsi"/>
          <w:b/>
          <w:szCs w:val="28"/>
          <w:lang w:val="nb-NO"/>
        </w:rPr>
        <w:t xml:space="preserve"> </w:t>
      </w:r>
      <w:r>
        <w:rPr>
          <w:rFonts w:asciiTheme="majorHAnsi" w:hAnsiTheme="majorHAnsi" w:cstheme="majorHAnsi"/>
          <w:szCs w:val="28"/>
          <w:lang w:val="nb-NO"/>
        </w:rPr>
        <w:t>Giao Ủy ban nhân dân xã Đồng Lê triển khai thực hiện Nghị quyết này.</w:t>
      </w:r>
    </w:p>
    <w:p>
      <w:pPr>
        <w:spacing w:before="60" w:after="60" w:line="264" w:lineRule="auto"/>
        <w:ind w:firstLine="720"/>
        <w:jc w:val="both"/>
        <w:rPr>
          <w:rFonts w:asciiTheme="majorHAnsi" w:hAnsiTheme="majorHAnsi" w:cstheme="majorHAnsi"/>
          <w:szCs w:val="28"/>
          <w:lang w:val="nb-NO"/>
        </w:rPr>
      </w:pPr>
      <w:r>
        <w:rPr>
          <w:rFonts w:asciiTheme="majorHAnsi" w:hAnsiTheme="majorHAnsi" w:cstheme="majorHAnsi"/>
          <w:szCs w:val="28"/>
          <w:lang w:val="nb-NO"/>
        </w:rPr>
        <w:t>2. Thường trực Hội đồng nhân dân, các Ban của Hội đồng nhân dân, các Tổ đại biểu Hội đồng nhân dân và các đại biểu Hội đồng nhân dân xã giám sát việc thực hiện Nghị quyết này.</w:t>
      </w:r>
    </w:p>
    <w:p>
      <w:pPr>
        <w:spacing w:before="60" w:after="60" w:line="264" w:lineRule="auto"/>
        <w:ind w:firstLine="720"/>
        <w:jc w:val="both"/>
        <w:rPr>
          <w:rFonts w:asciiTheme="majorHAnsi" w:hAnsiTheme="majorHAnsi" w:cstheme="majorHAnsi"/>
          <w:szCs w:val="28"/>
          <w:lang w:val="nb-NO"/>
        </w:rPr>
      </w:pPr>
      <w:r>
        <w:rPr>
          <w:rFonts w:asciiTheme="majorHAnsi" w:hAnsiTheme="majorHAnsi" w:cstheme="majorHAnsi"/>
          <w:szCs w:val="28"/>
          <w:lang w:val="nb-NO"/>
        </w:rPr>
        <w:t>Nghị quyết này được Hội đồng nhân dân xã Đồng Lê khóa II, kỳ họp thứ ba thông qua ngày 26 tháng 6 năm 2026 và có hiệu lực kể từ ngày thông qua./.</w:t>
      </w:r>
    </w:p>
    <w:p>
      <w:pPr>
        <w:spacing w:before="60" w:after="60" w:line="264" w:lineRule="auto"/>
        <w:ind w:firstLine="720"/>
        <w:jc w:val="both"/>
        <w:rPr>
          <w:rFonts w:asciiTheme="majorHAnsi" w:hAnsiTheme="majorHAnsi" w:cstheme="majorHAnsi"/>
          <w:sz w:val="20"/>
          <w:szCs w:val="28"/>
          <w:lang w:val="nb-NO"/>
        </w:rPr>
      </w:pPr>
    </w:p>
    <w:tbl>
      <w:tblPr>
        <w:tblW w:w="8755" w:type="dxa"/>
        <w:tblLayout w:type="fixed"/>
        <w:tblLook w:val="04A0"/>
      </w:tblPr>
      <w:tblGrid>
        <w:gridCol w:w="3652"/>
        <w:gridCol w:w="992"/>
        <w:gridCol w:w="4111"/>
      </w:tblGrid>
      <w:tr>
        <w:trPr>
          <w:trHeight w:val="2701"/>
        </w:trPr>
        <w:tc>
          <w:tcPr>
            <w:tcW w:w="3652" w:type="dxa"/>
            <w:hideMark/>
          </w:tcPr>
          <w:p>
            <w:pPr>
              <w:spacing w:before="60"/>
              <w:contextualSpacing/>
              <w:rPr>
                <w:rFonts w:eastAsia="Calibri"/>
                <w:b/>
                <w:i/>
                <w:sz w:val="24"/>
              </w:rPr>
            </w:pPr>
            <w:r>
              <w:rPr>
                <w:b/>
                <w:i/>
                <w:sz w:val="24"/>
              </w:rPr>
              <w:t>Nơi nhận:</w:t>
            </w:r>
          </w:p>
          <w:p>
            <w:pPr>
              <w:spacing w:before="60"/>
              <w:contextualSpacing/>
              <w:rPr>
                <w:sz w:val="22"/>
                <w:szCs w:val="22"/>
              </w:rPr>
            </w:pPr>
            <w:r>
              <w:rPr>
                <w:sz w:val="22"/>
                <w:szCs w:val="22"/>
              </w:rPr>
              <w:t>- Như điều 2;</w:t>
            </w:r>
          </w:p>
          <w:p>
            <w:pPr>
              <w:spacing w:before="60"/>
              <w:contextualSpacing/>
              <w:rPr>
                <w:sz w:val="22"/>
                <w:szCs w:val="22"/>
              </w:rPr>
            </w:pPr>
            <w:r>
              <w:rPr>
                <w:sz w:val="22"/>
                <w:szCs w:val="22"/>
              </w:rPr>
              <w:t>- TT HĐND tỉnh;</w:t>
            </w:r>
          </w:p>
          <w:p>
            <w:pPr>
              <w:spacing w:before="60"/>
              <w:contextualSpacing/>
              <w:rPr>
                <w:sz w:val="22"/>
                <w:szCs w:val="22"/>
              </w:rPr>
            </w:pPr>
            <w:r>
              <w:rPr>
                <w:sz w:val="22"/>
                <w:szCs w:val="22"/>
              </w:rPr>
              <w:t>- UBND tỉnh;</w:t>
            </w:r>
          </w:p>
          <w:p>
            <w:pPr>
              <w:spacing w:before="60"/>
              <w:contextualSpacing/>
              <w:rPr>
                <w:sz w:val="22"/>
                <w:szCs w:val="22"/>
              </w:rPr>
            </w:pPr>
            <w:r>
              <w:rPr>
                <w:sz w:val="22"/>
                <w:szCs w:val="22"/>
              </w:rPr>
              <w:t>- Sở Nội vụ;</w:t>
            </w:r>
          </w:p>
          <w:p>
            <w:pPr>
              <w:spacing w:before="60"/>
              <w:contextualSpacing/>
              <w:rPr>
                <w:sz w:val="22"/>
                <w:szCs w:val="22"/>
              </w:rPr>
            </w:pPr>
            <w:r>
              <w:rPr>
                <w:sz w:val="22"/>
                <w:szCs w:val="22"/>
              </w:rPr>
              <w:t>- Ban Thường vụ Đảng ủy xã;</w:t>
            </w:r>
          </w:p>
          <w:p>
            <w:pPr>
              <w:spacing w:before="60"/>
              <w:contextualSpacing/>
              <w:rPr>
                <w:sz w:val="22"/>
                <w:szCs w:val="22"/>
              </w:rPr>
            </w:pPr>
            <w:r>
              <w:rPr>
                <w:sz w:val="22"/>
                <w:szCs w:val="22"/>
              </w:rPr>
              <w:t>- Thường trực HĐND xã;</w:t>
            </w:r>
          </w:p>
          <w:p>
            <w:pPr>
              <w:spacing w:before="60"/>
              <w:contextualSpacing/>
              <w:rPr>
                <w:sz w:val="22"/>
                <w:szCs w:val="22"/>
              </w:rPr>
            </w:pPr>
            <w:r>
              <w:rPr>
                <w:sz w:val="22"/>
                <w:szCs w:val="22"/>
              </w:rPr>
              <w:t>- Lãnh đạo UBND xã</w:t>
            </w:r>
          </w:p>
          <w:p>
            <w:pPr>
              <w:spacing w:before="60"/>
              <w:contextualSpacing/>
              <w:rPr>
                <w:sz w:val="22"/>
                <w:szCs w:val="22"/>
              </w:rPr>
            </w:pPr>
            <w:r>
              <w:rPr>
                <w:sz w:val="22"/>
                <w:szCs w:val="22"/>
              </w:rPr>
              <w:t>- UBMTTQ xã;</w:t>
            </w:r>
          </w:p>
          <w:p>
            <w:pPr>
              <w:spacing w:before="60"/>
              <w:contextualSpacing/>
              <w:rPr>
                <w:sz w:val="22"/>
                <w:szCs w:val="22"/>
              </w:rPr>
            </w:pPr>
            <w:r>
              <w:rPr>
                <w:sz w:val="22"/>
                <w:szCs w:val="22"/>
              </w:rPr>
              <w:t>- Các thôn;</w:t>
            </w:r>
          </w:p>
          <w:p>
            <w:pPr>
              <w:spacing w:before="60"/>
              <w:contextualSpacing/>
              <w:rPr>
                <w:sz w:val="26"/>
                <w:szCs w:val="26"/>
              </w:rPr>
            </w:pPr>
            <w:r>
              <w:rPr>
                <w:sz w:val="22"/>
                <w:szCs w:val="22"/>
              </w:rPr>
              <w:t>- Lưu: VT, HĐND.</w:t>
            </w:r>
          </w:p>
        </w:tc>
        <w:tc>
          <w:tcPr>
            <w:tcW w:w="992" w:type="dxa"/>
          </w:tcPr>
          <w:p>
            <w:pPr>
              <w:spacing w:before="60"/>
              <w:contextualSpacing/>
              <w:jc w:val="center"/>
              <w:rPr>
                <w:b/>
                <w:szCs w:val="28"/>
              </w:rPr>
            </w:pPr>
          </w:p>
        </w:tc>
        <w:tc>
          <w:tcPr>
            <w:tcW w:w="4111" w:type="dxa"/>
          </w:tcPr>
          <w:p>
            <w:pPr>
              <w:spacing w:before="60"/>
              <w:ind w:firstLine="40"/>
              <w:contextualSpacing/>
              <w:jc w:val="center"/>
              <w:rPr>
                <w:b/>
                <w:szCs w:val="28"/>
              </w:rPr>
            </w:pPr>
            <w:r>
              <w:rPr>
                <w:b/>
                <w:szCs w:val="28"/>
              </w:rPr>
              <w:t>CHỦ TỊCH</w:t>
            </w:r>
          </w:p>
          <w:p>
            <w:pPr>
              <w:spacing w:before="60"/>
              <w:ind w:firstLine="40"/>
              <w:contextualSpacing/>
              <w:jc w:val="center"/>
              <w:rPr>
                <w:b/>
                <w:szCs w:val="28"/>
              </w:rPr>
            </w:pPr>
          </w:p>
          <w:p>
            <w:pPr>
              <w:spacing w:before="60"/>
              <w:ind w:firstLine="40"/>
              <w:contextualSpacing/>
              <w:jc w:val="center"/>
              <w:rPr>
                <w:b/>
                <w:szCs w:val="28"/>
              </w:rPr>
            </w:pPr>
          </w:p>
          <w:p>
            <w:pPr>
              <w:spacing w:before="60"/>
              <w:ind w:firstLine="40"/>
              <w:contextualSpacing/>
              <w:jc w:val="center"/>
              <w:rPr>
                <w:b/>
                <w:szCs w:val="28"/>
              </w:rPr>
            </w:pPr>
          </w:p>
          <w:p>
            <w:pPr>
              <w:spacing w:before="60"/>
              <w:ind w:firstLine="40"/>
              <w:contextualSpacing/>
              <w:jc w:val="center"/>
              <w:rPr>
                <w:b/>
                <w:szCs w:val="28"/>
              </w:rPr>
            </w:pPr>
          </w:p>
          <w:p>
            <w:pPr>
              <w:spacing w:before="60"/>
              <w:ind w:firstLine="40"/>
              <w:contextualSpacing/>
              <w:jc w:val="center"/>
              <w:rPr>
                <w:b/>
                <w:szCs w:val="28"/>
              </w:rPr>
            </w:pPr>
          </w:p>
          <w:p>
            <w:pPr>
              <w:spacing w:before="60"/>
              <w:ind w:firstLine="40"/>
              <w:contextualSpacing/>
              <w:jc w:val="center"/>
              <w:rPr>
                <w:b/>
                <w:szCs w:val="28"/>
              </w:rPr>
            </w:pPr>
            <w:r>
              <w:rPr>
                <w:b/>
                <w:szCs w:val="28"/>
              </w:rPr>
              <w:t>Bùi Thanh Chuyên</w:t>
            </w:r>
          </w:p>
        </w:tc>
      </w:tr>
    </w:tbl>
    <w:p>
      <w:pPr>
        <w:spacing w:before="60"/>
        <w:rPr>
          <w:i/>
          <w:spacing w:val="-4"/>
        </w:rPr>
      </w:pPr>
      <w:r>
        <w:rPr>
          <w:i/>
          <w:spacing w:val="-4"/>
        </w:rPr>
        <w:t xml:space="preserve"> </w:t>
      </w:r>
    </w:p>
    <w:sectPr>
      <w:headerReference w:type="default" r:id="rId9"/>
      <w:pgSz w:w="11907" w:h="16840" w:code="9"/>
      <w:pgMar w:top="1134" w:right="1134" w:bottom="1134" w:left="1701" w:header="510" w:footer="227"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
        <w:separator/>
      </w:r>
    </w:p>
  </w:endnote>
  <w:endnote w:type="continuationSeparator" w:id="0">
    <w:p>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
        <w:separator/>
      </w:r>
    </w:p>
  </w:footnote>
  <w:footnote w:type="continuationSeparator" w:id="0">
    <w:p>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0582403"/>
      <w:docPartObj>
        <w:docPartGallery w:val="Page Numbers (Top of Page)"/>
        <w:docPartUnique/>
      </w:docPartObj>
    </w:sdtPr>
    <w:sdtEndPr>
      <w:rPr>
        <w:noProof/>
        <w:sz w:val="26"/>
        <w:szCs w:val="26"/>
      </w:rPr>
    </w:sdtEndPr>
    <w:sdtContent>
      <w:p>
        <w:pPr>
          <w:pStyle w:val="Header"/>
          <w:jc w:val="center"/>
          <w:rPr>
            <w:sz w:val="26"/>
            <w:szCs w:val="26"/>
          </w:rPr>
        </w:pPr>
        <w:r>
          <w:rPr>
            <w:sz w:val="26"/>
            <w:szCs w:val="26"/>
          </w:rPr>
          <w:fldChar w:fldCharType="begin"/>
        </w:r>
        <w:r>
          <w:rPr>
            <w:sz w:val="26"/>
            <w:szCs w:val="26"/>
          </w:rPr>
          <w:instrText xml:space="preserve"> PAGE   \* MERGEFORMAT </w:instrText>
        </w:r>
        <w:r>
          <w:rPr>
            <w:sz w:val="26"/>
            <w:szCs w:val="26"/>
          </w:rPr>
          <w:fldChar w:fldCharType="separate"/>
        </w:r>
        <w:r>
          <w:rPr>
            <w:noProof/>
            <w:sz w:val="26"/>
            <w:szCs w:val="26"/>
          </w:rPr>
          <w:t>2</w:t>
        </w:r>
        <w:r>
          <w:rPr>
            <w:noProof/>
            <w:sz w:val="26"/>
            <w:szCs w:val="26"/>
          </w:rPr>
          <w:fldChar w:fldCharType="end"/>
        </w:r>
      </w:p>
    </w:sdtContent>
  </w:sdt>
  <w:p>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206892"/>
    <w:multiLevelType w:val="multilevel"/>
    <w:tmpl w:val="34206892"/>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nsid w:val="3C511D5A"/>
    <w:multiLevelType w:val="hybridMultilevel"/>
    <w:tmpl w:val="7A407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defaultTabStop w:val="720"/>
  <w:characterSpacingControl w:val="doNotCompress"/>
  <w:hdrShapeDefaults>
    <o:shapedefaults v:ext="edit" spidmax="5122" fillcolor="white">
      <v:fill color="white"/>
    </o:shapedefaults>
  </w:hdrShapeDefaults>
  <w:footnotePr>
    <w:footnote w:id="-1"/>
    <w:footnote w:id="0"/>
  </w:footnotePr>
  <w:endnotePr>
    <w:endnote w:id="-1"/>
    <w:endnote w:id="0"/>
  </w:endnotePr>
  <w:compat/>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sz w:val="28"/>
      <w:szCs w:val="24"/>
    </w:rPr>
  </w:style>
  <w:style w:type="paragraph" w:styleId="Heading5">
    <w:name w:val="heading 5"/>
    <w:basedOn w:val="Normal"/>
    <w:next w:val="Normal"/>
    <w:link w:val="Heading5Char"/>
    <w:uiPriority w:val="9"/>
    <w:qFormat/>
    <w:pPr>
      <w:spacing w:before="240" w:after="60"/>
      <w:outlineLvl w:val="4"/>
    </w:pPr>
    <w:rPr>
      <w:rFonts w:ascii="Arial" w:hAnsi="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rFonts w:ascii=".VnTime" w:hAnsi=".VnTime"/>
      <w:szCs w:val="20"/>
      <w:lang w:val="en-AU"/>
    </w:rPr>
  </w:style>
  <w:style w:type="paragraph" w:styleId="NormalWeb">
    <w:name w:val="Normal (Web)"/>
    <w:basedOn w:val="Normal"/>
    <w:uiPriority w:val="99"/>
    <w:unhideWhenUsed/>
    <w:pPr>
      <w:spacing w:before="100" w:beforeAutospacing="1" w:after="100" w:afterAutospacing="1"/>
    </w:pPr>
    <w:rPr>
      <w:sz w:val="24"/>
    </w:rPr>
  </w:style>
  <w:style w:type="table" w:styleId="TableGrid">
    <w:name w:val="Table Grid"/>
    <w:basedOn w:val="TableNormal"/>
    <w:uiPriority w:val="59"/>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Pr>
      <w:rFonts w:ascii=".VnTime" w:eastAsia="Times New Roman" w:hAnsi=".VnTime" w:cs="Times New Roman"/>
      <w:sz w:val="28"/>
      <w:szCs w:val="20"/>
      <w:lang w:val="en-AU"/>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8"/>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customStyle="1" w:styleId="Heading5Char">
    <w:name w:val="Heading 5 Char"/>
    <w:basedOn w:val="DefaultParagraphFont"/>
    <w:link w:val="Heading5"/>
    <w:uiPriority w:val="9"/>
    <w:rPr>
      <w:rFonts w:ascii="Arial" w:eastAsia="Times New Roman" w:hAnsi="Arial" w:cs="Times New Roman"/>
      <w:b/>
      <w:bCs/>
      <w:i/>
      <w:iCs/>
      <w:sz w:val="26"/>
      <w:szCs w:val="26"/>
    </w:rPr>
  </w:style>
  <w:style w:type="character" w:styleId="FootnoteReference">
    <w:name w:val="footnote reference"/>
    <w:aliases w:val=" Char Char6 Char Char,ftref,Footnote,Footnote text,BearingPoint,16 Point,Superscript 6 Point,fr,Footnote Text1,f,Ref,de nota al pie,Footnote + Arial,10 pt,Black,Footnote Text11,(NECG) Footnote Reference,BVI fnr,footnote ref, BVI fnr"/>
    <w:link w:val="CharChar6"/>
    <w:unhideWhenUsed/>
    <w:qFormat/>
    <w:rPr>
      <w:vertAlign w:val="superscript"/>
    </w:rPr>
  </w:style>
  <w:style w:type="paragraph" w:customStyle="1" w:styleId="CharChar6">
    <w:name w:val="Char Char6"/>
    <w:basedOn w:val="Normal"/>
    <w:next w:val="Normal"/>
    <w:link w:val="FootnoteReference"/>
    <w:uiPriority w:val="99"/>
    <w:qFormat/>
    <w:pPr>
      <w:spacing w:after="160" w:line="240" w:lineRule="exact"/>
    </w:pPr>
    <w:rPr>
      <w:rFonts w:asciiTheme="minorHAnsi" w:eastAsiaTheme="minorHAnsi" w:hAnsiTheme="minorHAnsi" w:cstheme="minorBidi"/>
      <w:sz w:val="20"/>
      <w:szCs w:val="20"/>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qFormat/>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qFormat/>
    <w:rPr>
      <w:rFonts w:ascii="Times New Roman" w:eastAsia="Times New Roman" w:hAnsi="Times New Roman" w:cs="Times New Roman"/>
    </w:rPr>
  </w:style>
  <w:style w:type="character" w:styleId="Hyperlink">
    <w:name w:val="Hyperlink"/>
    <w:uiPriority w:val="99"/>
    <w:unhideWhenUsed/>
    <w:rPr>
      <w:color w:val="0000FF"/>
      <w:u w:val="single"/>
    </w:rPr>
  </w:style>
  <w:style w:type="paragraph" w:customStyle="1" w:styleId="1tieude1">
    <w:name w:val="1.tieu de 1"/>
    <w:basedOn w:val="Normal"/>
    <w:pPr>
      <w:spacing w:line="360" w:lineRule="auto"/>
      <w:ind w:firstLine="851"/>
      <w:jc w:val="center"/>
    </w:pPr>
    <w:rPr>
      <w:rFonts w:ascii=".VnTimeH" w:eastAsia="Batang" w:hAnsi=".VnTimeH"/>
      <w:b/>
      <w:szCs w:val="20"/>
      <w:lang w:val="en-GB"/>
    </w:rPr>
  </w:style>
  <w:style w:type="character" w:customStyle="1" w:styleId="CharChar2">
    <w:name w:val="Char Char2"/>
    <w:rPr>
      <w:lang w:val="en-US" w:eastAsia="en-US" w:bidi="ar-SA"/>
    </w:rPr>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rPr>
      <w:rFonts w:ascii="Times New Roman" w:eastAsia="Times New Roman" w:hAnsi="Times New Roman" w:cs="Times New Roman"/>
      <w:sz w:val="28"/>
      <w:szCs w:val="24"/>
    </w:rPr>
  </w:style>
</w:styles>
</file>

<file path=word/webSettings.xml><?xml version="1.0" encoding="utf-8"?>
<w:webSettings xmlns:r="http://schemas.openxmlformats.org/officeDocument/2006/relationships" xmlns:w="http://schemas.openxmlformats.org/wordprocessingml/2006/main">
  <w:divs>
    <w:div w:id="371272431">
      <w:bodyDiv w:val="1"/>
      <w:marLeft w:val="0"/>
      <w:marRight w:val="0"/>
      <w:marTop w:val="0"/>
      <w:marBottom w:val="0"/>
      <w:divBdr>
        <w:top w:val="none" w:sz="0" w:space="0" w:color="auto"/>
        <w:left w:val="none" w:sz="0" w:space="0" w:color="auto"/>
        <w:bottom w:val="none" w:sz="0" w:space="0" w:color="auto"/>
        <w:right w:val="none" w:sz="0" w:space="0" w:color="auto"/>
      </w:divBdr>
    </w:div>
    <w:div w:id="860824157">
      <w:bodyDiv w:val="1"/>
      <w:marLeft w:val="0"/>
      <w:marRight w:val="0"/>
      <w:marTop w:val="0"/>
      <w:marBottom w:val="0"/>
      <w:divBdr>
        <w:top w:val="none" w:sz="0" w:space="0" w:color="auto"/>
        <w:left w:val="none" w:sz="0" w:space="0" w:color="auto"/>
        <w:bottom w:val="none" w:sz="0" w:space="0" w:color="auto"/>
        <w:right w:val="none" w:sz="0" w:space="0" w:color="auto"/>
      </w:divBdr>
    </w:div>
    <w:div w:id="879245574">
      <w:bodyDiv w:val="1"/>
      <w:marLeft w:val="0"/>
      <w:marRight w:val="0"/>
      <w:marTop w:val="0"/>
      <w:marBottom w:val="0"/>
      <w:divBdr>
        <w:top w:val="none" w:sz="0" w:space="0" w:color="auto"/>
        <w:left w:val="none" w:sz="0" w:space="0" w:color="auto"/>
        <w:bottom w:val="none" w:sz="0" w:space="0" w:color="auto"/>
        <w:right w:val="none" w:sz="0" w:space="0" w:color="auto"/>
      </w:divBdr>
    </w:div>
    <w:div w:id="946934095">
      <w:bodyDiv w:val="1"/>
      <w:marLeft w:val="0"/>
      <w:marRight w:val="0"/>
      <w:marTop w:val="0"/>
      <w:marBottom w:val="0"/>
      <w:divBdr>
        <w:top w:val="none" w:sz="0" w:space="0" w:color="auto"/>
        <w:left w:val="none" w:sz="0" w:space="0" w:color="auto"/>
        <w:bottom w:val="none" w:sz="0" w:space="0" w:color="auto"/>
        <w:right w:val="none" w:sz="0" w:space="0" w:color="auto"/>
      </w:divBdr>
    </w:div>
    <w:div w:id="1387294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955DA2-7E0A-410E-BE00-15C15EB9E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3383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cp:lastPrinted>2026-06-25T13:38:00Z</cp:lastPrinted>
  <dcterms:created xsi:type="dcterms:W3CDTF">2026-06-25T13:38:00Z</dcterms:created>
  <dcterms:modified xsi:type="dcterms:W3CDTF">2026-06-25T13:38:00Z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9A4F87C23BFC4363A1B4C12BF2DCE680</vt:lpwstr>
  </property>
</Properties>
</file>